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/>
          <w:sz w:val="32"/>
          <w:szCs w:val="36"/>
        </w:rPr>
      </w:pPr>
      <w:bookmarkStart w:id="0" w:name="_GoBack"/>
      <w:r>
        <w:rPr>
          <w:rFonts w:hint="eastAsia" w:ascii="Calibri" w:hAnsi="Calibri" w:eastAsia="宋体" w:cs="Times New Roman"/>
          <w:color w:val="000000"/>
          <w:sz w:val="32"/>
          <w:szCs w:val="36"/>
        </w:rPr>
        <w:t>附件1：</w:t>
      </w:r>
    </w:p>
    <w:p>
      <w:pPr>
        <w:spacing w:afterLines="50"/>
        <w:jc w:val="center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陕西师范大学第十二届“创青春”大学生创业大赛参赛项目统计表</w:t>
      </w:r>
    </w:p>
    <w:bookmarkEnd w:id="0"/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69"/>
        <w:gridCol w:w="1781"/>
        <w:gridCol w:w="1763"/>
        <w:gridCol w:w="1387"/>
        <w:gridCol w:w="1575"/>
        <w:gridCol w:w="171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作品类别代码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  <w:t>电话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第一指导教师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指导教师电话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4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4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9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7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4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9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7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spacing w:line="560" w:lineRule="exact"/>
              <w:ind w:righ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 xml:space="preserve">创业计划竞赛需分组、分类评审。 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参加赛事分为：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创业计划竞赛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创业实践挑战赛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公益创业赛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                                                                                        </w:t>
      </w:r>
    </w:p>
    <w:p>
      <w:pPr>
        <w:widowControl/>
        <w:spacing w:line="300" w:lineRule="auto"/>
        <w:jc w:val="left"/>
        <w:rPr>
          <w:rFonts w:ascii="Calibri" w:hAnsi="Calibri" w:eastAsia="宋体" w:cs="Times New Roman"/>
          <w:szCs w:val="2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.作品类别代码填写规则：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作品分类+作品所属领域                                                                                         ①作品分类为：甲类——已创业；乙类——未创业                                                                                                   ②作品所属领域为：A.农业、畜牧、食品及相关产业组；B.生物医药组；C.化工技术和环境科学组；D.信息技术和电子商务；E.材料组；F.机械能源组；G.文化创意和服务咨询组。（如已创业项目，属于生物医药组，填写甲B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3E35"/>
    <w:rsid w:val="3A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2019-12-18T03:39:00Z</dcterms:created>
  <dc:creator>深 浅</dc:creator>
  <cp:lastModifiedBy>深 浅</cp:lastModifiedBy>
  <dcterms:modified xsi:type="dcterms:W3CDTF">2019-12-18T03:40:35Z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